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A2A" w:rsidRDefault="001C5818">
      <w:pPr>
        <w:widowControl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>WRITING-12/13 COURSE I</w:t>
      </w:r>
    </w:p>
    <w:p w:rsidR="00B62A2A" w:rsidRPr="001C5818" w:rsidRDefault="00754313" w:rsidP="001C581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62A2A" w:rsidRDefault="00754313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ESSENTIAL UNIT 2 (E02)</w:t>
      </w:r>
    </w:p>
    <w:p w:rsidR="001C5818" w:rsidRDefault="001C5818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B62A2A" w:rsidRDefault="00754313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t>(Narrative Writing)</w:t>
      </w:r>
    </w:p>
    <w:p w:rsidR="00B62A2A" w:rsidRDefault="00754313">
      <w:pPr>
        <w:widowControl w:val="0"/>
        <w:jc w:val="center"/>
      </w:pPr>
      <w:r>
        <w:rPr>
          <w:rFonts w:ascii="Times New Roman" w:eastAsia="Times New Roman" w:hAnsi="Times New Roman" w:cs="Times New Roman"/>
          <w:sz w:val="18"/>
        </w:rPr>
        <w:t>(July 2014)</w:t>
      </w:r>
    </w:p>
    <w:p w:rsidR="00B62A2A" w:rsidRDefault="00754313">
      <w:pPr>
        <w:widowControl w:val="0"/>
      </w:pPr>
      <w:r>
        <w:rPr>
          <w:color w:val="FF0000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Unit Statement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In this unit the student will write a narrative nonfiction (personal narrative) essay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develop real experiences or events using effective technique, relevant descriptive details and well-structured event sequences.  Narrative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essays are often anecdotal, experiential, and personal—allowing students to express themselves in a creative and, quite often, moving way.</w:t>
      </w:r>
      <w:r>
        <w:rPr>
          <w:rFonts w:ascii="Times New Roman" w:eastAsia="Times New Roman" w:hAnsi="Times New Roman" w:cs="Times New Roman"/>
          <w:sz w:val="24"/>
        </w:rPr>
        <w:t xml:space="preserve"> The student will be introduced to the Writing Process and 6+1 traits. Essential Question to this unit: What do you remember?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Point of knowledge: </w:t>
      </w:r>
      <w:r>
        <w:rPr>
          <w:rFonts w:ascii="Times New Roman" w:eastAsia="Times New Roman" w:hAnsi="Times New Roman" w:cs="Times New Roman"/>
          <w:i/>
          <w:sz w:val="24"/>
          <w:highlight w:val="white"/>
        </w:rPr>
        <w:t>A mentor text is a written piece used in education as an example of quality writing by a student who is studying the writing process. Typically, mentor texts are used by individuals. When an entire group uses them, they are known as "touchstone texts."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Essential Outcomes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(must be assessed for mastery)</w:t>
      </w:r>
    </w:p>
    <w:p w:rsidR="00B62A2A" w:rsidRDefault="00754313" w:rsidP="001C5818">
      <w:pPr>
        <w:widowControl w:val="0"/>
        <w:spacing w:line="12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pStyle w:val="ListParagraph"/>
        <w:widowControl w:val="0"/>
        <w:numPr>
          <w:ilvl w:val="0"/>
          <w:numId w:val="2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b/>
          <w:sz w:val="24"/>
        </w:rPr>
        <w:t>T</w:t>
      </w:r>
      <w:r w:rsidRPr="001C5818">
        <w:rPr>
          <w:rFonts w:ascii="Times New Roman" w:eastAsia="Times New Roman" w:hAnsi="Times New Roman" w:cs="Times New Roman"/>
          <w:sz w:val="24"/>
        </w:rPr>
        <w:t xml:space="preserve">he </w:t>
      </w:r>
      <w:r w:rsidRPr="001C5818">
        <w:rPr>
          <w:rFonts w:ascii="Times New Roman" w:eastAsia="Times New Roman" w:hAnsi="Times New Roman" w:cs="Times New Roman"/>
          <w:b/>
          <w:sz w:val="24"/>
        </w:rPr>
        <w:t>S</w:t>
      </w:r>
      <w:r w:rsidRPr="001C5818">
        <w:rPr>
          <w:rFonts w:ascii="Times New Roman" w:eastAsia="Times New Roman" w:hAnsi="Times New Roman" w:cs="Times New Roman"/>
          <w:sz w:val="24"/>
        </w:rPr>
        <w:t xml:space="preserve">tudent </w:t>
      </w:r>
      <w:r w:rsidRPr="001C5818">
        <w:rPr>
          <w:rFonts w:ascii="Times New Roman" w:eastAsia="Times New Roman" w:hAnsi="Times New Roman" w:cs="Times New Roman"/>
          <w:b/>
          <w:sz w:val="24"/>
        </w:rPr>
        <w:t>W</w:t>
      </w:r>
      <w:r w:rsidRPr="001C5818">
        <w:rPr>
          <w:rFonts w:ascii="Times New Roman" w:eastAsia="Times New Roman" w:hAnsi="Times New Roman" w:cs="Times New Roman"/>
          <w:sz w:val="24"/>
        </w:rPr>
        <w:t>ill review and apply the Writing Process and the 6+1 Traits.</w:t>
      </w:r>
    </w:p>
    <w:p w:rsidR="00B62A2A" w:rsidRDefault="00B62A2A" w:rsidP="001C5818">
      <w:pPr>
        <w:widowControl w:val="0"/>
        <w:spacing w:line="240" w:lineRule="auto"/>
        <w:ind w:left="720" w:hanging="360"/>
      </w:pPr>
    </w:p>
    <w:p w:rsidR="00B62A2A" w:rsidRDefault="00754313" w:rsidP="001C581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develop real experiences or events.</w:t>
      </w:r>
    </w:p>
    <w:p w:rsidR="00B62A2A" w:rsidRDefault="00B62A2A" w:rsidP="001C5818">
      <w:pPr>
        <w:widowControl w:val="0"/>
        <w:tabs>
          <w:tab w:val="left" w:pos="720"/>
        </w:tabs>
        <w:spacing w:line="240" w:lineRule="auto"/>
        <w:ind w:left="1325" w:hanging="965"/>
      </w:pPr>
    </w:p>
    <w:p w:rsidR="00B62A2A" w:rsidRDefault="00754313" w:rsidP="001C581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 xml:space="preserve">TSW </w:t>
      </w:r>
      <w:r w:rsidRPr="001C5818">
        <w:rPr>
          <w:rFonts w:ascii="Times New Roman" w:eastAsia="Times New Roman" w:hAnsi="Times New Roman" w:cs="Times New Roman"/>
          <w:sz w:val="24"/>
        </w:rPr>
        <w:t>develop a narrator and/or strong characters within one or more narrative essays.</w:t>
      </w:r>
    </w:p>
    <w:p w:rsidR="00B62A2A" w:rsidRDefault="00B62A2A" w:rsidP="001C5818">
      <w:pPr>
        <w:widowControl w:val="0"/>
        <w:tabs>
          <w:tab w:val="left" w:pos="720"/>
        </w:tabs>
        <w:spacing w:line="240" w:lineRule="auto"/>
        <w:ind w:left="1325" w:hanging="965"/>
      </w:pPr>
    </w:p>
    <w:p w:rsidR="00B62A2A" w:rsidRDefault="00754313" w:rsidP="001C581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engage the reader by establishing a context and point of view within one or more narrative essay.</w:t>
      </w:r>
    </w:p>
    <w:p w:rsidR="00B62A2A" w:rsidRDefault="00B62A2A" w:rsidP="001C5818">
      <w:pPr>
        <w:widowControl w:val="0"/>
        <w:tabs>
          <w:tab w:val="left" w:pos="720"/>
        </w:tabs>
        <w:spacing w:line="240" w:lineRule="auto"/>
        <w:ind w:left="1325" w:hanging="965"/>
      </w:pPr>
    </w:p>
    <w:p w:rsidR="00B62A2A" w:rsidRDefault="00754313" w:rsidP="001C581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1325" w:right="-601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organize the sequences, event, and/or characters within one or more narrative essays.</w:t>
      </w:r>
    </w:p>
    <w:p w:rsidR="00B62A2A" w:rsidRDefault="00B62A2A" w:rsidP="001C5818">
      <w:pPr>
        <w:widowControl w:val="0"/>
        <w:tabs>
          <w:tab w:val="left" w:pos="720"/>
        </w:tabs>
        <w:spacing w:line="240" w:lineRule="auto"/>
        <w:ind w:left="1325" w:hanging="965"/>
      </w:pPr>
    </w:p>
    <w:p w:rsidR="00B62A2A" w:rsidRDefault="00754313" w:rsidP="001C581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use narrative techniques, such as dialogue, pacing, and description, to develop experiences, events and /or characters within one or more narrative essays.</w:t>
      </w:r>
    </w:p>
    <w:p w:rsidR="00B62A2A" w:rsidRDefault="00B62A2A" w:rsidP="001C5818">
      <w:pPr>
        <w:widowControl w:val="0"/>
        <w:tabs>
          <w:tab w:val="left" w:pos="720"/>
        </w:tabs>
        <w:spacing w:line="240" w:lineRule="auto"/>
        <w:ind w:left="1325" w:hanging="965"/>
      </w:pPr>
    </w:p>
    <w:p w:rsidR="00B62A2A" w:rsidRDefault="00754313" w:rsidP="001C581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produce a conclusion that follows from and reflects on the narrated experiences or events within one or more narrative essays.</w:t>
      </w:r>
    </w:p>
    <w:p w:rsidR="00B62A2A" w:rsidRDefault="00B62A2A" w:rsidP="001C5818">
      <w:pPr>
        <w:widowControl w:val="0"/>
        <w:spacing w:line="240" w:lineRule="auto"/>
        <w:ind w:left="720" w:hanging="360"/>
      </w:pP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Practiced/Ongoing Outcomes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(development is ongoing)</w:t>
      </w:r>
    </w:p>
    <w:p w:rsidR="00B62A2A" w:rsidRDefault="00B62A2A" w:rsidP="001C5818">
      <w:pPr>
        <w:widowControl w:val="0"/>
        <w:spacing w:line="120" w:lineRule="auto"/>
      </w:pPr>
    </w:p>
    <w:p w:rsidR="00B62A2A" w:rsidRDefault="001C5818" w:rsidP="001C5818">
      <w:pPr>
        <w:pStyle w:val="ListParagraph"/>
        <w:widowControl w:val="0"/>
        <w:numPr>
          <w:ilvl w:val="0"/>
          <w:numId w:val="4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b/>
          <w:sz w:val="24"/>
        </w:rPr>
        <w:t>T</w:t>
      </w:r>
      <w:r w:rsidRPr="001C5818">
        <w:rPr>
          <w:rFonts w:ascii="Times New Roman" w:eastAsia="Times New Roman" w:hAnsi="Times New Roman" w:cs="Times New Roman"/>
          <w:sz w:val="24"/>
        </w:rPr>
        <w:t xml:space="preserve">he </w:t>
      </w:r>
      <w:r w:rsidRPr="001C5818">
        <w:rPr>
          <w:rFonts w:ascii="Times New Roman" w:eastAsia="Times New Roman" w:hAnsi="Times New Roman" w:cs="Times New Roman"/>
          <w:b/>
          <w:sz w:val="24"/>
        </w:rPr>
        <w:t>S</w:t>
      </w:r>
      <w:r w:rsidRPr="001C5818">
        <w:rPr>
          <w:rFonts w:ascii="Times New Roman" w:eastAsia="Times New Roman" w:hAnsi="Times New Roman" w:cs="Times New Roman"/>
          <w:sz w:val="24"/>
        </w:rPr>
        <w:t xml:space="preserve">tudent </w:t>
      </w:r>
      <w:r w:rsidRPr="001C5818">
        <w:rPr>
          <w:rFonts w:ascii="Times New Roman" w:eastAsia="Times New Roman" w:hAnsi="Times New Roman" w:cs="Times New Roman"/>
          <w:b/>
          <w:sz w:val="24"/>
        </w:rPr>
        <w:t>W</w:t>
      </w:r>
      <w:r w:rsidRPr="001C5818">
        <w:rPr>
          <w:rFonts w:ascii="Times New Roman" w:eastAsia="Times New Roman" w:hAnsi="Times New Roman" w:cs="Times New Roman"/>
          <w:sz w:val="24"/>
        </w:rPr>
        <w:t>ill</w:t>
      </w:r>
      <w:r w:rsidR="00754313" w:rsidRPr="001C58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54313" w:rsidRPr="001C5818">
        <w:rPr>
          <w:rFonts w:ascii="Times New Roman" w:eastAsia="Times New Roman" w:hAnsi="Times New Roman" w:cs="Times New Roman"/>
          <w:sz w:val="24"/>
        </w:rPr>
        <w:t>review and apply the Writing Process and the 6+1 Traits.</w:t>
      </w:r>
    </w:p>
    <w:p w:rsidR="00B62A2A" w:rsidRDefault="00754313" w:rsidP="001C581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engage technology, including the internet, to produce and publish writing and to interact and collaborate with others, such as peer editing and conferencing, within one or more narrative essays.</w:t>
      </w:r>
    </w:p>
    <w:p w:rsidR="00B62A2A" w:rsidRDefault="00754313" w:rsidP="001C581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write routinely over extended time frames for a range of discipline-specific task, purposes and audiences.</w:t>
      </w:r>
    </w:p>
    <w:p w:rsidR="00B62A2A" w:rsidRDefault="00754313" w:rsidP="001C581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 xml:space="preserve">TSW </w:t>
      </w:r>
      <w:r w:rsidRPr="001C5818">
        <w:rPr>
          <w:rFonts w:ascii="Times New Roman" w:eastAsia="Times New Roman" w:hAnsi="Times New Roman" w:cs="Times New Roman"/>
          <w:sz w:val="24"/>
        </w:rPr>
        <w:t>use a thesaurus, dictionary or other source to improve personal vocabulary during the editing portion of The Writing Process.</w:t>
      </w:r>
    </w:p>
    <w:p w:rsidR="00B62A2A" w:rsidRDefault="00754313" w:rsidP="001C581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identify and correct any spelling errors discovered during the proofreading portion of The Writing Process.</w:t>
      </w:r>
    </w:p>
    <w:p w:rsidR="00B62A2A" w:rsidRDefault="00754313" w:rsidP="001C581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left="1325" w:hanging="965"/>
      </w:pPr>
      <w:r w:rsidRPr="001C5818">
        <w:rPr>
          <w:rFonts w:ascii="Times New Roman" w:eastAsia="Times New Roman" w:hAnsi="Times New Roman" w:cs="Times New Roman"/>
          <w:b/>
          <w:sz w:val="24"/>
        </w:rPr>
        <w:t>TSW</w:t>
      </w:r>
      <w:r w:rsidRPr="001C5818">
        <w:rPr>
          <w:rFonts w:ascii="Times New Roman" w:eastAsia="Times New Roman" w:hAnsi="Times New Roman" w:cs="Times New Roman"/>
          <w:sz w:val="24"/>
        </w:rPr>
        <w:t xml:space="preserve"> continue to develop grammar skills (E01) in the ongoing Grammar unit throughout all Writing units.</w:t>
      </w:r>
    </w:p>
    <w:p w:rsidR="00B62A2A" w:rsidRDefault="00754313" w:rsidP="001C5818">
      <w:pPr>
        <w:widowControl w:val="0"/>
        <w:ind w:left="720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Key Terms and Concepts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C5818" w:rsidRDefault="00754313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1C5818" w:rsidTr="001C5818">
        <w:tc>
          <w:tcPr>
            <w:tcW w:w="9245" w:type="dxa"/>
          </w:tcPr>
          <w:p w:rsidR="001C5818" w:rsidRDefault="001C5818" w:rsidP="001C5818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develop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style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conflict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image</w:t>
            </w:r>
          </w:p>
          <w:p w:rsidR="001C5818" w:rsidRDefault="001C5818" w:rsidP="001C5818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imagery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theme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consequences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personal</w:t>
            </w:r>
          </w:p>
          <w:p w:rsidR="001C5818" w:rsidRDefault="001C5818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sensory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tone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focus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resolution</w:t>
            </w:r>
          </w:p>
        </w:tc>
      </w:tr>
    </w:tbl>
    <w:p w:rsidR="00B62A2A" w:rsidRDefault="00B62A2A">
      <w:pPr>
        <w:widowControl w:val="0"/>
      </w:pP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Suggested Professional Materials for Teachers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(provided by school)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u w:val="single"/>
        </w:rPr>
        <w:t>Writing Coach by Prentice Hall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Nonfiction narration:  9, 64-89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fiction versus, 91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forms of, 9-10, 67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Personal narratives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Characteristics of, 66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characters in, 66, 74-75, 80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details, 66, 68, 75, 77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organization of, 76-77, 83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plot with conflict and resolution in, 66, 68-69, 74-77, 80</w:t>
      </w:r>
    </w:p>
    <w:p w:rsidR="00B62A2A" w:rsidRDefault="00B62A2A" w:rsidP="001C5818">
      <w:pPr>
        <w:widowControl w:val="0"/>
        <w:spacing w:line="240" w:lineRule="auto"/>
      </w:pP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u w:val="single"/>
        </w:rPr>
        <w:t>Literature by Holt McDougal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Personal narrative writing: 880-889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Suggested Student Materials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(provided by school)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u w:val="single"/>
        </w:rPr>
        <w:t>Writing Coach Student Edition by Prentice Hall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Nonfiction narration:  9, 64-89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fiction versus, 91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forms of, 9-10, 67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Personal narratives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Characteristics of, 66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characters in, 66, 74-75, 80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details, 66, 68, 75, 77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organization of, 76-77, 83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plot with conflict and resolution in, 66, 68-69, 74-77, 80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u w:val="single"/>
        </w:rPr>
        <w:t>Literature by Holt McDougal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Personal narrative writing 880-889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2A2A" w:rsidRPr="001C5818" w:rsidRDefault="00754313" w:rsidP="001C5818">
      <w:pPr>
        <w:spacing w:after="20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Additional Resources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>(may not be provided by school)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6+1 Traits of Writing: The Complete Guide Grades 3 and Up (for teachers) by </w:t>
      </w:r>
      <w:r>
        <w:rPr>
          <w:rFonts w:ascii="Times New Roman" w:eastAsia="Times New Roman" w:hAnsi="Times New Roman" w:cs="Times New Roman"/>
          <w:sz w:val="24"/>
          <w:highlight w:val="white"/>
        </w:rPr>
        <w:t>Culham, Ruth.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Write Trait Student Traitbook and Teacher edition by Vickie Spandle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Lucy Calkins Units of Study in Argument, Information, and Narrative Writing Middle School Series Bundle, Grades 6-8 </w:t>
      </w:r>
      <w:r>
        <w:rPr>
          <w:rFonts w:ascii="Times New Roman" w:eastAsia="Times New Roman" w:hAnsi="Times New Roman" w:cs="Times New Roman"/>
          <w:sz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http://www.heinemann.com/products/E05375.aspx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Writing Workshop by Fletcher, Ralph and Portalupi, JoAnn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A Fresh Approach to Teaching Punctuation by Janet Anelillo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The Everyday Writer by </w:t>
      </w:r>
      <w:r>
        <w:rPr>
          <w:rFonts w:ascii="Times New Roman" w:eastAsia="Times New Roman" w:hAnsi="Times New Roman" w:cs="Times New Roman"/>
          <w:sz w:val="24"/>
          <w:highlight w:val="white"/>
        </w:rPr>
        <w:t>Anderson, Jeff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Reviving the Essay: How to Teach Structure Without Formula    Bernabei, Gretchen.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Technology Links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Pr="001C5818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Destiny Webpath Express</w:t>
      </w:r>
      <w:r w:rsidR="001C58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1C5818">
        <w:rPr>
          <w:rFonts w:ascii="Times New Roman" w:eastAsia="Times New Roman" w:hAnsi="Times New Roman" w:cs="Times New Roman"/>
          <w:sz w:val="24"/>
        </w:rPr>
        <w:t>(found in school library)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Use this search engine to find age-appropriate websites that align with your unit. This website is on the Library Destiny Catalog.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  <w:u w:val="single"/>
        </w:rPr>
        <w:t>Online Writing Coach</w:t>
      </w:r>
    </w:p>
    <w:p w:rsidR="00B62A2A" w:rsidRDefault="00E013EA" w:rsidP="001C5818">
      <w:pPr>
        <w:widowControl w:val="0"/>
        <w:spacing w:line="240" w:lineRule="auto"/>
      </w:pPr>
      <w:hyperlink r:id="rId8">
        <w:r w:rsidR="00754313">
          <w:rPr>
            <w:rFonts w:ascii="Times New Roman" w:eastAsia="Times New Roman" w:hAnsi="Times New Roman" w:cs="Times New Roman"/>
            <w:color w:val="1155CC"/>
            <w:sz w:val="24"/>
            <w:highlight w:val="white"/>
            <w:u w:val="single"/>
          </w:rPr>
          <w:t>www.successnetplus.com</w:t>
        </w:r>
      </w:hyperlink>
      <w:r w:rsidR="00754313"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 Highly recommend that you explore the Online Writing Coach. It is full of lesson plans,</w:t>
      </w:r>
      <w:r w:rsidR="00754313">
        <w:rPr>
          <w:rFonts w:ascii="Times New Roman" w:eastAsia="Times New Roman" w:hAnsi="Times New Roman" w:cs="Times New Roman"/>
          <w:sz w:val="24"/>
        </w:rPr>
        <w:t xml:space="preserve"> </w:t>
      </w:r>
      <w:r w:rsidR="00754313">
        <w:rPr>
          <w:rFonts w:ascii="Times New Roman" w:eastAsia="Times New Roman" w:hAnsi="Times New Roman" w:cs="Times New Roman"/>
          <w:color w:val="222222"/>
          <w:sz w:val="24"/>
          <w:highlight w:val="white"/>
        </w:rPr>
        <w:t>graphic organizers, assessments, interactive student grammar</w:t>
      </w:r>
      <w:r w:rsidR="00754313">
        <w:rPr>
          <w:rFonts w:ascii="Times New Roman" w:eastAsia="Times New Roman" w:hAnsi="Times New Roman" w:cs="Times New Roman"/>
          <w:sz w:val="24"/>
        </w:rPr>
        <w:t xml:space="preserve"> </w:t>
      </w:r>
      <w:r w:rsidR="00754313">
        <w:rPr>
          <w:rFonts w:ascii="Times New Roman" w:eastAsia="Times New Roman" w:hAnsi="Times New Roman" w:cs="Times New Roman"/>
          <w:color w:val="222222"/>
          <w:sz w:val="24"/>
          <w:highlight w:val="white"/>
        </w:rPr>
        <w:t>exercises, interactive writing center, the Writing Coach e-textbook</w:t>
      </w:r>
      <w:r w:rsidR="00754313">
        <w:rPr>
          <w:rFonts w:ascii="Times New Roman" w:eastAsia="Times New Roman" w:hAnsi="Times New Roman" w:cs="Times New Roman"/>
          <w:sz w:val="24"/>
        </w:rPr>
        <w:t xml:space="preserve"> </w:t>
      </w:r>
      <w:r w:rsidR="00754313">
        <w:rPr>
          <w:rFonts w:ascii="Times New Roman" w:eastAsia="Times New Roman" w:hAnsi="Times New Roman" w:cs="Times New Roman"/>
          <w:color w:val="222222"/>
          <w:sz w:val="24"/>
          <w:highlight w:val="white"/>
        </w:rPr>
        <w:t>and more. The website keeps track of students' online activities and grades, and</w:t>
      </w:r>
      <w:r w:rsidR="00754313">
        <w:rPr>
          <w:rFonts w:ascii="Times New Roman" w:eastAsia="Times New Roman" w:hAnsi="Times New Roman" w:cs="Times New Roman"/>
          <w:sz w:val="24"/>
        </w:rPr>
        <w:t xml:space="preserve"> </w:t>
      </w:r>
      <w:r w:rsidR="00754313">
        <w:rPr>
          <w:rFonts w:ascii="Times New Roman" w:eastAsia="Times New Roman" w:hAnsi="Times New Roman" w:cs="Times New Roman"/>
          <w:color w:val="222222"/>
          <w:sz w:val="24"/>
          <w:highlight w:val="white"/>
        </w:rPr>
        <w:t>more. Automated paragraph and essay grading requires that students</w:t>
      </w:r>
      <w:r w:rsidR="00754313">
        <w:rPr>
          <w:rFonts w:ascii="Times New Roman" w:eastAsia="Times New Roman" w:hAnsi="Times New Roman" w:cs="Times New Roman"/>
          <w:sz w:val="24"/>
        </w:rPr>
        <w:t xml:space="preserve"> </w:t>
      </w:r>
      <w:r w:rsidR="00754313">
        <w:rPr>
          <w:rFonts w:ascii="Times New Roman" w:eastAsia="Times New Roman" w:hAnsi="Times New Roman" w:cs="Times New Roman"/>
          <w:color w:val="222222"/>
          <w:sz w:val="24"/>
          <w:highlight w:val="white"/>
        </w:rPr>
        <w:t>engage specific writing prompts.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Owl Purdue Writing Center</w:t>
      </w:r>
    </w:p>
    <w:p w:rsidR="00B62A2A" w:rsidRDefault="00E013EA" w:rsidP="001C5818">
      <w:pPr>
        <w:widowControl w:val="0"/>
        <w:spacing w:line="240" w:lineRule="auto"/>
      </w:pPr>
      <w:hyperlink r:id="rId9">
        <w:r w:rsidR="00754313"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https://owl.english.purdue.edu/</w:t>
        </w:r>
      </w:hyperlink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Suggested Assessment Tools and Strategies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Teacher will go through the steps and characteristic of a narrative.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Develop a well-developed narrative essay using the Writing Process.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Select mentor pieces from the literature book or outside sources of choice to model character development, setting, and point of view.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Discuss the elements of a story: exposition, rising action, climax, falling action, and resolution.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Select appropriate vocabulary (Word Choice)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Analyze his/her Narrative using the 6+1 traits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Assess his/her Narrative using the 6+1 rubric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Peer conference with a Google docs or similar program (Group Interaction)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</w:pPr>
      <w:r w:rsidRPr="001C5818">
        <w:rPr>
          <w:rFonts w:ascii="Times New Roman" w:eastAsia="Times New Roman" w:hAnsi="Times New Roman" w:cs="Times New Roman"/>
          <w:sz w:val="24"/>
        </w:rPr>
        <w:t>Present a summary of the paper to the class (Oral Component)</w:t>
      </w:r>
    </w:p>
    <w:p w:rsidR="00B62A2A" w:rsidRDefault="00754313" w:rsidP="001C5818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450"/>
      </w:pPr>
      <w:r w:rsidRPr="001C5818">
        <w:rPr>
          <w:rFonts w:ascii="Times New Roman" w:eastAsia="Times New Roman" w:hAnsi="Times New Roman" w:cs="Times New Roman"/>
          <w:sz w:val="24"/>
        </w:rPr>
        <w:t>Work on a piece of writing with a partner using a shared event.</w:t>
      </w:r>
    </w:p>
    <w:p w:rsidR="00B62A2A" w:rsidRDefault="00754313" w:rsidP="001C581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Attached Rubric or teacher generated rubric that assesses ALL essential outcomes (TSWs).</w:t>
      </w:r>
    </w:p>
    <w:p w:rsidR="001C5818" w:rsidRDefault="001C5818">
      <w:pPr>
        <w:widowControl w:val="0"/>
        <w:rPr>
          <w:rFonts w:ascii="Times New Roman" w:eastAsia="Times New Roman" w:hAnsi="Times New Roman" w:cs="Times New Roman"/>
          <w:i/>
          <w:sz w:val="24"/>
        </w:rPr>
      </w:pPr>
    </w:p>
    <w:p w:rsidR="001C5818" w:rsidRDefault="001C5818">
      <w:pPr>
        <w:widowControl w:val="0"/>
        <w:rPr>
          <w:rFonts w:ascii="Times New Roman" w:eastAsia="Times New Roman" w:hAnsi="Times New Roman" w:cs="Times New Roman"/>
          <w:i/>
          <w:sz w:val="24"/>
        </w:rPr>
      </w:pPr>
    </w:p>
    <w:p w:rsidR="001C5818" w:rsidRDefault="001C5818">
      <w:pPr>
        <w:widowControl w:val="0"/>
        <w:rPr>
          <w:rFonts w:ascii="Times New Roman" w:eastAsia="Times New Roman" w:hAnsi="Times New Roman" w:cs="Times New Roman"/>
          <w:i/>
          <w:sz w:val="24"/>
        </w:rPr>
      </w:pPr>
    </w:p>
    <w:p w:rsidR="001C5818" w:rsidRDefault="001C5818">
      <w:pPr>
        <w:widowControl w:val="0"/>
        <w:rPr>
          <w:rFonts w:ascii="Times New Roman" w:eastAsia="Times New Roman" w:hAnsi="Times New Roman" w:cs="Times New Roman"/>
          <w:i/>
          <w:sz w:val="24"/>
        </w:rPr>
      </w:pPr>
    </w:p>
    <w:p w:rsidR="001C5818" w:rsidRDefault="001C5818">
      <w:pPr>
        <w:widowControl w:val="0"/>
        <w:rPr>
          <w:rFonts w:ascii="Times New Roman" w:eastAsia="Times New Roman" w:hAnsi="Times New Roman" w:cs="Times New Roman"/>
          <w:i/>
          <w:sz w:val="24"/>
        </w:rPr>
      </w:pP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i/>
          <w:sz w:val="24"/>
        </w:rPr>
        <w:t>RUBRIC FOUND ON FOLLOWING PAGE………………………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 w:rsidP="001C5818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Suggested Unit</w:t>
      </w:r>
      <w:r w:rsidR="00185240">
        <w:rPr>
          <w:rFonts w:ascii="Times New Roman" w:eastAsia="Times New Roman" w:hAnsi="Times New Roman" w:cs="Times New Roman"/>
          <w:b/>
          <w:sz w:val="24"/>
        </w:rPr>
        <w:t xml:space="preserve"> E02 Evaluation Rubric – Writing-</w:t>
      </w:r>
      <w:r>
        <w:rPr>
          <w:rFonts w:ascii="Times New Roman" w:eastAsia="Times New Roman" w:hAnsi="Times New Roman" w:cs="Times New Roman"/>
          <w:b/>
          <w:sz w:val="24"/>
        </w:rPr>
        <w:t>12/13-Course I</w:t>
      </w:r>
    </w:p>
    <w:p w:rsidR="00B62A2A" w:rsidRDefault="00754313">
      <w:pPr>
        <w:widowControl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A2A" w:rsidRDefault="00754313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Student name:_________________________ Date:_______________________</w:t>
      </w:r>
    </w:p>
    <w:p w:rsidR="00B62A2A" w:rsidRDefault="00754313" w:rsidP="0018524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• To receive a ‘B’ in the unit a student must demonstrate mastery of all TSWs</w:t>
      </w:r>
    </w:p>
    <w:p w:rsidR="00B62A2A" w:rsidRDefault="00754313" w:rsidP="0018524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• To receive an ‘A’ in the unit a student must demonstrate ‘A’ level mastery on at least 3 of the 4 identified TSWs</w:t>
      </w:r>
    </w:p>
    <w:p w:rsidR="00B62A2A" w:rsidRDefault="00754313" w:rsidP="0018524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Note: teachers may choose to use their own rubrics, however all TSWs must be assessed.</w:t>
      </w:r>
    </w:p>
    <w:p w:rsidR="00B62A2A" w:rsidRDefault="00754313" w:rsidP="0018524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0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2525"/>
        <w:gridCol w:w="2480"/>
        <w:gridCol w:w="1745"/>
      </w:tblGrid>
      <w:tr w:rsidR="00B62A2A"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TSW</w:t>
            </w:r>
          </w:p>
        </w:tc>
        <w:tc>
          <w:tcPr>
            <w:tcW w:w="2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185240">
            <w:pPr>
              <w:widowControl w:val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‘A’</w:t>
            </w:r>
            <w:r w:rsidR="007543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Level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185240">
            <w:pPr>
              <w:widowControl w:val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‘B’</w:t>
            </w:r>
            <w:r w:rsidR="007543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Level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Notes</w:t>
            </w:r>
          </w:p>
        </w:tc>
      </w:tr>
      <w:tr w:rsidR="00B62A2A" w:rsidTr="00DD6E8A"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 w:rsidP="0018524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</w:pPr>
            <w:r w:rsidRPr="00185240">
              <w:rPr>
                <w:rFonts w:ascii="Times New Roman" w:eastAsia="Times New Roman" w:hAnsi="Times New Roman" w:cs="Times New Roman"/>
              </w:rPr>
              <w:t>Review and apply the Writing Process and the 6+1 Traits.</w:t>
            </w:r>
          </w:p>
        </w:tc>
        <w:tc>
          <w:tcPr>
            <w:tcW w:w="252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B62A2A">
            <w:pPr>
              <w:widowControl w:val="0"/>
              <w:ind w:left="100"/>
            </w:pP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Review and apply the Writing Process and the 6+1 Traits.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B62A2A">
            <w:pPr>
              <w:widowControl w:val="0"/>
              <w:ind w:left="100"/>
            </w:pPr>
          </w:p>
        </w:tc>
      </w:tr>
      <w:tr w:rsidR="00B62A2A" w:rsidTr="00DD6E8A"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 w:rsidP="0018524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5"/>
              </w:tabs>
              <w:ind w:left="0" w:firstLine="10"/>
            </w:pPr>
            <w:r w:rsidRPr="00185240">
              <w:rPr>
                <w:rFonts w:ascii="Times New Roman" w:eastAsia="Times New Roman" w:hAnsi="Times New Roman" w:cs="Times New Roman"/>
              </w:rPr>
              <w:t>S</w:t>
            </w:r>
            <w:r w:rsidR="00185240">
              <w:rPr>
                <w:rFonts w:ascii="Times New Roman" w:eastAsia="Times New Roman" w:hAnsi="Times New Roman" w:cs="Times New Roman"/>
              </w:rPr>
              <w:t xml:space="preserve">elect </w:t>
            </w:r>
            <w:r w:rsidRPr="00185240">
              <w:rPr>
                <w:rFonts w:ascii="Times New Roman" w:eastAsia="Times New Roman" w:hAnsi="Times New Roman" w:cs="Times New Roman"/>
              </w:rPr>
              <w:t>real experiences or events.</w:t>
            </w:r>
          </w:p>
        </w:tc>
        <w:tc>
          <w:tcPr>
            <w:tcW w:w="252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Choose an appropriate real experience or event.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2A2A"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 w:rsidP="0018524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30"/>
              </w:tabs>
              <w:ind w:left="0" w:firstLine="10"/>
            </w:pPr>
            <w:r w:rsidRPr="00185240">
              <w:rPr>
                <w:rFonts w:ascii="Times New Roman" w:eastAsia="Times New Roman" w:hAnsi="Times New Roman" w:cs="Times New Roman"/>
              </w:rPr>
              <w:t>Develop a narrator and/or main characters and secondary characters.</w:t>
            </w:r>
          </w:p>
        </w:tc>
        <w:tc>
          <w:tcPr>
            <w:tcW w:w="2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Characters are multifaceted, engaging and connect with the reader.</w:t>
            </w:r>
          </w:p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Narrator and/or characters are pertinent to the story.</w:t>
            </w:r>
          </w:p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2A2A" w:rsidTr="00DD6E8A"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 w:rsidP="0018524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ind w:left="0" w:firstLine="0"/>
            </w:pPr>
            <w:r w:rsidRPr="00185240">
              <w:rPr>
                <w:rFonts w:ascii="Times New Roman" w:eastAsia="Times New Roman" w:hAnsi="Times New Roman" w:cs="Times New Roman"/>
              </w:rPr>
              <w:t>Engage the reader by establishing a context and point of view.</w:t>
            </w:r>
          </w:p>
        </w:tc>
        <w:tc>
          <w:tcPr>
            <w:tcW w:w="252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B62A2A">
            <w:pPr>
              <w:widowControl w:val="0"/>
              <w:ind w:left="100"/>
            </w:pP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Point of view is clearly stated.</w:t>
            </w:r>
          </w:p>
          <w:p w:rsidR="00B62A2A" w:rsidRPr="00185240" w:rsidRDefault="00B62A2A">
            <w:pPr>
              <w:widowControl w:val="0"/>
              <w:ind w:left="100"/>
            </w:pP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2A2A" w:rsidTr="00DD6E8A"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185240" w:rsidP="00185240">
            <w:pPr>
              <w:widowControl w:val="0"/>
            </w:pPr>
            <w:r w:rsidRPr="00185240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54313" w:rsidRPr="00185240">
              <w:rPr>
                <w:rFonts w:ascii="Times New Roman" w:eastAsia="Times New Roman" w:hAnsi="Times New Roman" w:cs="Times New Roman"/>
              </w:rPr>
              <w:t>organize the sequences, events, and/or characters within .</w:t>
            </w:r>
          </w:p>
        </w:tc>
        <w:tc>
          <w:tcPr>
            <w:tcW w:w="252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B62A2A">
            <w:pPr>
              <w:widowControl w:val="0"/>
              <w:ind w:left="100"/>
            </w:pPr>
          </w:p>
          <w:p w:rsidR="00B62A2A" w:rsidRPr="00185240" w:rsidRDefault="00B62A2A">
            <w:pPr>
              <w:widowControl w:val="0"/>
              <w:ind w:left="100"/>
            </w:pP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</w:pPr>
            <w:r w:rsidRPr="00185240">
              <w:rPr>
                <w:rFonts w:ascii="Times New Roman" w:eastAsia="Times New Roman" w:hAnsi="Times New Roman" w:cs="Times New Roman"/>
              </w:rPr>
              <w:t>Sequences of events are organized in a logical way.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2A2A"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 w:rsidP="001852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45"/>
              </w:tabs>
              <w:ind w:left="0" w:firstLine="0"/>
            </w:pPr>
            <w:r w:rsidRPr="00185240">
              <w:rPr>
                <w:rFonts w:ascii="Times New Roman" w:eastAsia="Times New Roman" w:hAnsi="Times New Roman" w:cs="Times New Roman"/>
              </w:rPr>
              <w:t>Use narrative techniques, such as dialogue, pacing, and description, to develop experiences, events and /or characters.</w:t>
            </w:r>
          </w:p>
        </w:tc>
        <w:tc>
          <w:tcPr>
            <w:tcW w:w="2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Narrative Techniques are used to engage the reader and answer questions while supporting characters and events.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Narrative techniques are used to support the characters and events.</w:t>
            </w:r>
          </w:p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2A2A">
        <w:trPr>
          <w:trHeight w:val="1740"/>
        </w:trPr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 w:rsidP="0018524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45"/>
              </w:tabs>
              <w:ind w:left="0" w:firstLine="0"/>
            </w:pPr>
            <w:r w:rsidRPr="00185240">
              <w:rPr>
                <w:rFonts w:ascii="Times New Roman" w:eastAsia="Times New Roman" w:hAnsi="Times New Roman" w:cs="Times New Roman"/>
              </w:rPr>
              <w:t>Produce a conclusion that follows form and reflects on the narrated experiences or events within one or more narrative writing.</w:t>
            </w:r>
          </w:p>
        </w:tc>
        <w:tc>
          <w:tcPr>
            <w:tcW w:w="2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</w:pPr>
            <w:r w:rsidRPr="00185240">
              <w:rPr>
                <w:rFonts w:ascii="Times New Roman" w:eastAsia="Times New Roman" w:hAnsi="Times New Roman" w:cs="Times New Roman"/>
              </w:rPr>
              <w:t>The conclusion leaves the reader with a sense of closure and resolution.</w:t>
            </w:r>
          </w:p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>A conclusion is present and reflects on the story.</w:t>
            </w:r>
          </w:p>
          <w:p w:rsidR="00B62A2A" w:rsidRPr="00185240" w:rsidRDefault="00754313">
            <w:pPr>
              <w:widowControl w:val="0"/>
              <w:ind w:left="100"/>
            </w:pPr>
            <w:r w:rsidRPr="001852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A2A" w:rsidRDefault="00754313">
            <w:pPr>
              <w:widowControl w:val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2A2A" w:rsidRDefault="00B62A2A">
      <w:pPr>
        <w:widowControl w:val="0"/>
      </w:pPr>
    </w:p>
    <w:sectPr w:rsidR="00B62A2A" w:rsidSect="00185240">
      <w:footerReference w:type="default" r:id="rId10"/>
      <w:pgSz w:w="11909" w:h="16834" w:code="9"/>
      <w:pgMar w:top="1440" w:right="1440" w:bottom="1440" w:left="1440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25" w:rsidRDefault="00247125">
      <w:pPr>
        <w:spacing w:line="240" w:lineRule="auto"/>
      </w:pPr>
      <w:r>
        <w:separator/>
      </w:r>
    </w:p>
  </w:endnote>
  <w:endnote w:type="continuationSeparator" w:id="0">
    <w:p w:rsidR="00247125" w:rsidRDefault="00247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3724"/>
      <w:docPartObj>
        <w:docPartGallery w:val="Page Numbers (Bottom of Page)"/>
        <w:docPartUnique/>
      </w:docPartObj>
    </w:sdtPr>
    <w:sdtContent>
      <w:p w:rsidR="00185240" w:rsidRDefault="00E013EA">
        <w:pPr>
          <w:pStyle w:val="Footer"/>
          <w:jc w:val="center"/>
        </w:pPr>
        <w:r w:rsidRPr="0018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5240" w:rsidRPr="0018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CD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8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A2A" w:rsidRDefault="00185240" w:rsidP="00185240">
    <w:pPr>
      <w:widowControl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QSI WRITING-12/13 COURSE I E02</w:t>
    </w:r>
  </w:p>
  <w:p w:rsidR="00185240" w:rsidRPr="00185240" w:rsidRDefault="00185240" w:rsidP="00185240">
    <w:pPr>
      <w:widowControl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Copyright © 1988-2014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25" w:rsidRDefault="00247125">
      <w:pPr>
        <w:spacing w:line="240" w:lineRule="auto"/>
      </w:pPr>
      <w:r>
        <w:separator/>
      </w:r>
    </w:p>
  </w:footnote>
  <w:footnote w:type="continuationSeparator" w:id="0">
    <w:p w:rsidR="00247125" w:rsidRDefault="002471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35"/>
    <w:multiLevelType w:val="hybridMultilevel"/>
    <w:tmpl w:val="AB80D55C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B9A"/>
    <w:multiLevelType w:val="hybridMultilevel"/>
    <w:tmpl w:val="D682F6CE"/>
    <w:lvl w:ilvl="0" w:tplc="A6FA68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EC8"/>
    <w:multiLevelType w:val="hybridMultilevel"/>
    <w:tmpl w:val="0C10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55D4"/>
    <w:multiLevelType w:val="hybridMultilevel"/>
    <w:tmpl w:val="ED2A0B4C"/>
    <w:lvl w:ilvl="0" w:tplc="A6FA68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4FF"/>
    <w:multiLevelType w:val="hybridMultilevel"/>
    <w:tmpl w:val="2C2863EC"/>
    <w:lvl w:ilvl="0" w:tplc="3C829FC0">
      <w:start w:val="6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EF7344"/>
    <w:multiLevelType w:val="hybridMultilevel"/>
    <w:tmpl w:val="789C70A0"/>
    <w:lvl w:ilvl="0" w:tplc="7E063182">
      <w:start w:val="1"/>
      <w:numFmt w:val="decimal"/>
      <w:lvlText w:val="%1."/>
      <w:lvlJc w:val="left"/>
      <w:pPr>
        <w:ind w:left="1185" w:hanging="82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4BFB"/>
    <w:multiLevelType w:val="hybridMultilevel"/>
    <w:tmpl w:val="14EC20E8"/>
    <w:lvl w:ilvl="0" w:tplc="8B604AE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25B670F"/>
    <w:multiLevelType w:val="hybridMultilevel"/>
    <w:tmpl w:val="C8DC47D4"/>
    <w:lvl w:ilvl="0" w:tplc="A6FA68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814DC"/>
    <w:multiLevelType w:val="hybridMultilevel"/>
    <w:tmpl w:val="C39CD62A"/>
    <w:lvl w:ilvl="0" w:tplc="7E063182">
      <w:start w:val="1"/>
      <w:numFmt w:val="decimal"/>
      <w:lvlText w:val="%1."/>
      <w:lvlJc w:val="left"/>
      <w:pPr>
        <w:ind w:left="1185" w:hanging="82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A2A"/>
    <w:rsid w:val="00047229"/>
    <w:rsid w:val="00185240"/>
    <w:rsid w:val="001C5818"/>
    <w:rsid w:val="00223066"/>
    <w:rsid w:val="00247125"/>
    <w:rsid w:val="00267366"/>
    <w:rsid w:val="002C438C"/>
    <w:rsid w:val="00754313"/>
    <w:rsid w:val="009B7CDF"/>
    <w:rsid w:val="00B62A2A"/>
    <w:rsid w:val="00DD6E8A"/>
    <w:rsid w:val="00E0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366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26736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26736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26736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26736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26736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26736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6736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26736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1C5818"/>
    <w:pPr>
      <w:ind w:left="720"/>
      <w:contextualSpacing/>
    </w:pPr>
  </w:style>
  <w:style w:type="table" w:styleId="TableGrid">
    <w:name w:val="Table Grid"/>
    <w:basedOn w:val="TableNormal"/>
    <w:uiPriority w:val="59"/>
    <w:rsid w:val="001C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2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2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52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40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cessnetplus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einemann.com/products/E05375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12/13 Course I E02 Narrative final.docx</vt:lpstr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12/13 Course I E02 Narrative final.docx</dc:title>
  <dc:creator>Scott Carpenter</dc:creator>
  <cp:lastModifiedBy>Jerry Scott</cp:lastModifiedBy>
  <cp:revision>6</cp:revision>
  <dcterms:created xsi:type="dcterms:W3CDTF">2014-03-14T09:04:00Z</dcterms:created>
  <dcterms:modified xsi:type="dcterms:W3CDTF">2014-04-10T11:10:00Z</dcterms:modified>
</cp:coreProperties>
</file>